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spacing w:after="0" w:befor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2">
      <w:pPr>
        <w:spacing w:after="0" w:befor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3">
      <w:pPr>
        <w:spacing w:after="0" w:befor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spacing w:after="0" w:befor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spacing w:after="0" w:befor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6">
      <w:pPr>
        <w:spacing w:after="0" w:befor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7">
      <w:pPr>
        <w:spacing w:after="0" w:befor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8">
      <w:pPr>
        <w:spacing w:after="0" w:befor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9">
      <w:pPr>
        <w:spacing w:after="0" w:befor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spacing w:after="240" w:lineRule="auto"/>
        <w:jc w:val="both"/>
        <w:rPr>
          <w:rFonts w:ascii="Arial" w:cs="Arial" w:eastAsia="Arial" w:hAnsi="Arial"/>
          <w:sz w:val="40"/>
          <w:szCs w:val="40"/>
        </w:rPr>
      </w:pPr>
      <w:r w:rsidDel="00000000" w:rsidR="00000000" w:rsidRPr="00000000">
        <w:rPr>
          <w:rFonts w:ascii="Arial" w:cs="Arial" w:eastAsia="Arial" w:hAnsi="Arial"/>
          <w:sz w:val="40"/>
          <w:szCs w:val="40"/>
          <w:rtl w:val="0"/>
        </w:rPr>
        <w:t xml:space="preserve">DMS Framework Agreement</w:t>
      </w:r>
    </w:p>
    <w:p w:rsidR="00000000" w:rsidDel="00000000" w:rsidP="00000000" w:rsidRDefault="00000000" w:rsidRPr="00000000" w14:paraId="0000000B">
      <w:pPr>
        <w:spacing w:after="240" w:lineRule="auto"/>
        <w:jc w:val="both"/>
        <w:rPr>
          <w:rFonts w:ascii="Arial" w:cs="Arial" w:eastAsia="Arial" w:hAnsi="Arial"/>
          <w:sz w:val="40"/>
          <w:szCs w:val="40"/>
        </w:rPr>
      </w:pPr>
      <w:r w:rsidDel="00000000" w:rsidR="00000000" w:rsidRPr="00000000">
        <w:rPr>
          <w:rFonts w:ascii="Arial" w:cs="Arial" w:eastAsia="Arial" w:hAnsi="Arial"/>
          <w:sz w:val="40"/>
          <w:szCs w:val="40"/>
          <w:rtl w:val="0"/>
        </w:rPr>
        <w:t xml:space="preserve">Schedule 3.5</w:t>
      </w:r>
    </w:p>
    <w:p w:rsidR="00000000" w:rsidDel="00000000" w:rsidP="00000000" w:rsidRDefault="00000000" w:rsidRPr="00000000" w14:paraId="0000000C">
      <w:pPr>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Standards</w:t>
      </w:r>
    </w:p>
    <w:p w:rsidR="00000000" w:rsidDel="00000000" w:rsidP="00000000" w:rsidRDefault="00000000" w:rsidRPr="00000000" w14:paraId="0000000D">
      <w:pPr>
        <w:rPr/>
      </w:pPr>
      <w:r w:rsidDel="00000000" w:rsidR="00000000" w:rsidRPr="00000000">
        <w:br w:type="page"/>
      </w:r>
      <w:r w:rsidDel="00000000" w:rsidR="00000000" w:rsidRPr="00000000">
        <w:rPr>
          <w:rtl w:val="0"/>
        </w:rPr>
      </w:r>
    </w:p>
    <w:p w:rsidR="00000000" w:rsidDel="00000000" w:rsidP="00000000" w:rsidRDefault="00000000" w:rsidRPr="00000000" w14:paraId="0000000E">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794" w:right="0" w:hanging="794"/>
        <w:jc w:val="both"/>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Introduction</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76"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Schedule sets out: </w:t>
      </w:r>
    </w:p>
    <w:p w:rsidR="00000000" w:rsidDel="00000000" w:rsidP="00000000" w:rsidRDefault="00000000" w:rsidRPr="00000000" w14:paraId="00000010">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240" w:line="276" w:lineRule="auto"/>
        <w:ind w:left="1587" w:right="0" w:hanging="793"/>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of the Industry Standards at Annex 1 (Industry Standards); and</w:t>
      </w:r>
    </w:p>
    <w:p w:rsidR="00000000" w:rsidDel="00000000" w:rsidP="00000000" w:rsidRDefault="00000000" w:rsidRPr="00000000" w14:paraId="00000011">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240" w:line="276" w:lineRule="auto"/>
        <w:ind w:left="1587" w:right="0" w:hanging="793"/>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of the Public Sector Standards at Annex 2 (Public Sector Standards).</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76" w:lineRule="auto"/>
        <w:ind w:left="794" w:right="0" w:hanging="794"/>
        <w:jc w:val="both"/>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tables set out at Annex 1 (Industry Standards) and Annex 2 (Public Sector Standards) also identify:</w:t>
      </w:r>
    </w:p>
    <w:p w:rsidR="00000000" w:rsidDel="00000000" w:rsidP="00000000" w:rsidRDefault="00000000" w:rsidRPr="00000000" w14:paraId="00000013">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240" w:line="276" w:lineRule="auto"/>
        <w:ind w:left="1587" w:right="0" w:hanging="793"/>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whether or not the Supplier and/or its Sub-contractors are required to comply with or be Certified as compliant with each of the Standards;</w:t>
      </w:r>
    </w:p>
    <w:p w:rsidR="00000000" w:rsidDel="00000000" w:rsidP="00000000" w:rsidRDefault="00000000" w:rsidRPr="00000000" w14:paraId="00000014">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240" w:line="276" w:lineRule="auto"/>
        <w:ind w:left="1587" w:right="0" w:hanging="793"/>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compliance or Certification of compliance is required, the date that the Supplier, and/or those Sub-contractors are required to comply with or be Certified as compliant with the relevant Industry Standard and/or Public Sector Standard.</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76"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Customer Specific Standards are set out in Appendix 2 (Customer Specific Standards)</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Call-Off Order Form of the relevant Call-Off Agreement, such Appendix 2 (Customer Specific Standards) to also identify those matters set out in Paragraph 1.2.</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76"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Throughout the Framework Term:</w:t>
      </w:r>
    </w:p>
    <w:p w:rsidR="00000000" w:rsidDel="00000000" w:rsidP="00000000" w:rsidRDefault="00000000" w:rsidRPr="00000000" w14:paraId="00000017">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240" w:line="276" w:lineRule="auto"/>
        <w:ind w:left="1587" w:right="0" w:hanging="793"/>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monitor and notify the Framework Authority and all Customers; and</w:t>
      </w:r>
    </w:p>
    <w:p w:rsidR="00000000" w:rsidDel="00000000" w:rsidP="00000000" w:rsidRDefault="00000000" w:rsidRPr="00000000" w14:paraId="00000018">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240" w:line="276" w:lineRule="auto"/>
        <w:ind w:left="1587" w:right="0" w:hanging="793"/>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Authority and Customers shall, to the extent that they are aware, notify the Supplier,</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240" w:line="276" w:lineRule="auto"/>
        <w:ind w:left="794" w:right="0" w:hanging="793"/>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 any new or emergent standards which could affect the Supplier’s provision, or any Customer and/or Service Recipient's receipt, of the Ordered Services. Any changes to the Industry Standards and/or the Public Sector Standards shall be processed in accordance with Clause 16 of this Framework Agreement and any changes to the Customer Specific Standards shall be processed in accordance with Clause 17.4(b) of the Standard Terms. The introduction of any new or emergent standards shall be agreed in accordance with Clause 13 (Contract Changes).</w:t>
      </w:r>
    </w:p>
    <w:p w:rsidR="00000000" w:rsidDel="00000000" w:rsidP="00000000" w:rsidRDefault="00000000" w:rsidRPr="00000000" w14:paraId="0000001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76"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 new or emergent standard is to be developed or introduced by the Framework Authority, Customer or Service Recipient the Supplier shall be responsible for ensuring that the potential impact on the Supplier’s provision, or any Customer and/or Service Recipient's receipt, of the Ordered Services is explained to the Framework Authority or Customers (in a reasonable timeframe), prior to the implementation of the new or emergent standard.</w:t>
      </w:r>
    </w:p>
    <w:p w:rsidR="00000000" w:rsidDel="00000000" w:rsidP="00000000" w:rsidRDefault="00000000" w:rsidRPr="00000000" w14:paraId="0000001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76"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Standards referenced:</w:t>
      </w:r>
      <w:r w:rsidDel="00000000" w:rsidR="00000000" w:rsidRPr="00000000">
        <w:rPr>
          <w:rtl w:val="0"/>
        </w:rPr>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240" w:line="276" w:lineRule="auto"/>
        <w:ind w:left="1587" w:right="0" w:hanging="793"/>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conflict with each other, then the Supplier shall resolve such conflict by complying with the most recently published Standard; and/or</w:t>
      </w:r>
      <w:r w:rsidDel="00000000" w:rsidR="00000000" w:rsidRPr="00000000">
        <w:rPr>
          <w:rtl w:val="0"/>
        </w:rPr>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240" w:line="276" w:lineRule="auto"/>
        <w:ind w:left="1587" w:right="0" w:hanging="793"/>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conflict with Good Industry Practice, then the Supplier shall resolve such conflict by adopting whatever represents the better practice.</w:t>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240" w:line="276" w:lineRule="auto"/>
        <w:ind w:left="851" w:right="0" w:hanging="793"/>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such alteration to any Standard(s) shall require the prior written agreement of the Framework Authority (such agreement not to be unreasonably withheld or delayed) and shall be implemented within an agreed timescale.</w:t>
      </w:r>
    </w:p>
    <w:p w:rsidR="00000000" w:rsidDel="00000000" w:rsidP="00000000" w:rsidRDefault="00000000" w:rsidRPr="00000000" w14:paraId="0000001F">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794" w:right="0" w:hanging="794"/>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Standards Compliance and Certification</w:t>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76"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and shall procure that the Sub-contractors, comply with and/or obtain Certification in respect of, the Standards by the dates identified in, and otherwise in accordance with, Annex 1 (Industry Standards), Annex 2 (Public Sector Standards) and Appendix 2 (Customer Specific Standards)</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Call-Off Order Form of the relevant Call-Off Agreement. </w:t>
      </w:r>
    </w:p>
    <w:p w:rsidR="00000000" w:rsidDel="00000000" w:rsidP="00000000" w:rsidRDefault="00000000" w:rsidRPr="00000000" w14:paraId="0000002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76" w:lineRule="auto"/>
        <w:ind w:left="794" w:right="0" w:hanging="794"/>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Certification is required to be obtained, then the Supplier shall maintain, and/or shall procure that the applicable Sub-contractors maintain, such Certification:</w:t>
      </w:r>
    </w:p>
    <w:p w:rsidR="00000000" w:rsidDel="00000000" w:rsidP="00000000" w:rsidRDefault="00000000" w:rsidRPr="00000000" w14:paraId="00000022">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240" w:line="276" w:lineRule="auto"/>
        <w:ind w:left="1587" w:right="0" w:hanging="793"/>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respect of Industry Standards and Public Sector Standards, from the relevant "Date " identified in Annex 1 (Industry Standards) and Annex 2 (Public Sector Standards) until the end of the Framework Term; and</w:t>
      </w:r>
    </w:p>
    <w:p w:rsidR="00000000" w:rsidDel="00000000" w:rsidP="00000000" w:rsidRDefault="00000000" w:rsidRPr="00000000" w14:paraId="00000023">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0" w:before="240" w:line="276" w:lineRule="auto"/>
        <w:ind w:left="1587" w:right="0" w:hanging="793"/>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respect of Customer Specific Standards, from the relevant "Date" identified in Appendix 2 (Customer Specific Standards) of the Call-Off Order Form until the end of the Term of the relevant Call-Off Agreement. </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240" w:line="276" w:lineRule="auto"/>
        <w:ind w:left="794" w:right="0" w:hanging="794"/>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a new version of a Standard to which Certification is required is released, the Supplier and the Sub-contractors (as applicable) shall not be required to be Certified to such new version until such time as the Supplier's and/or the Sub-contractor's (as applicable) Certification in respect of the earlier version of the Standard expires. </w:t>
      </w:r>
    </w:p>
    <w:p w:rsidR="00000000" w:rsidDel="00000000" w:rsidP="00000000" w:rsidRDefault="00000000" w:rsidRPr="00000000" w14:paraId="00000025">
      <w:pPr>
        <w:rPr/>
        <w:sectPr>
          <w:headerReference r:id="rId7" w:type="default"/>
          <w:footerReference r:id="rId8" w:type="default"/>
          <w:pgSz w:h="16838" w:w="11906"/>
          <w:pgMar w:bottom="1440" w:top="1440" w:left="1440" w:right="1440" w:header="708" w:footer="708"/>
          <w:pgNumType w:start="1"/>
          <w:cols w:equalWidth="0"/>
        </w:sectPr>
      </w:pPr>
      <w:r w:rsidDel="00000000" w:rsidR="00000000" w:rsidRPr="00000000">
        <w:rPr>
          <w:rtl w:val="0"/>
        </w:rPr>
      </w:r>
    </w:p>
    <w:p w:rsidR="00000000" w:rsidDel="00000000" w:rsidP="00000000" w:rsidRDefault="00000000" w:rsidRPr="00000000" w14:paraId="00000026">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Annex 1</w:t>
      </w:r>
    </w:p>
    <w:p w:rsidR="00000000" w:rsidDel="00000000" w:rsidP="00000000" w:rsidRDefault="00000000" w:rsidRPr="00000000" w14:paraId="00000027">
      <w:pPr>
        <w:spacing w:after="0" w:before="24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Industry Standards</w:t>
      </w:r>
    </w:p>
    <w:p w:rsidR="00000000" w:rsidDel="00000000" w:rsidP="00000000" w:rsidRDefault="00000000" w:rsidRPr="00000000" w14:paraId="00000028">
      <w:pPr>
        <w:keepNext w:val="1"/>
        <w:numPr>
          <w:ilvl w:val="0"/>
          <w:numId w:val="2"/>
        </w:numPr>
        <w:spacing w:after="0" w:before="240" w:lineRule="auto"/>
        <w:ind w:left="794" w:hanging="794"/>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Introduction</w:t>
      </w:r>
    </w:p>
    <w:p w:rsidR="00000000" w:rsidDel="00000000" w:rsidP="00000000" w:rsidRDefault="00000000" w:rsidRPr="00000000" w14:paraId="00000029">
      <w:pPr>
        <w:numPr>
          <w:ilvl w:val="1"/>
          <w:numId w:val="2"/>
        </w:numPr>
        <w:spacing w:after="0" w:before="240" w:lineRule="auto"/>
        <w:ind w:left="794" w:hanging="794"/>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table sets out:</w:t>
      </w:r>
    </w:p>
    <w:p w:rsidR="00000000" w:rsidDel="00000000" w:rsidP="00000000" w:rsidRDefault="00000000" w:rsidRPr="00000000" w14:paraId="0000002A">
      <w:pPr>
        <w:numPr>
          <w:ilvl w:val="3"/>
          <w:numId w:val="2"/>
        </w:numPr>
        <w:spacing w:after="0" w:before="240" w:lineRule="auto"/>
        <w:ind w:left="1587" w:hanging="79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Column 1, the relevant Industry Standard;</w:t>
      </w:r>
    </w:p>
    <w:p w:rsidR="00000000" w:rsidDel="00000000" w:rsidP="00000000" w:rsidRDefault="00000000" w:rsidRPr="00000000" w14:paraId="0000002B">
      <w:pPr>
        <w:numPr>
          <w:ilvl w:val="3"/>
          <w:numId w:val="2"/>
        </w:numPr>
        <w:spacing w:after="0" w:before="240" w:lineRule="auto"/>
        <w:ind w:left="1587" w:hanging="79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Column 2, whether compliance or Certification of compliance with the relevant Industry Standard is required or, where the Supplier or its Sub-contractors are carrying out activities regulated by the Financial Conduct Authority, authorisation ("Full Authorisation") is required;</w:t>
      </w:r>
    </w:p>
    <w:p w:rsidR="00000000" w:rsidDel="00000000" w:rsidP="00000000" w:rsidRDefault="00000000" w:rsidRPr="00000000" w14:paraId="0000002C">
      <w:pPr>
        <w:numPr>
          <w:ilvl w:val="3"/>
          <w:numId w:val="2"/>
        </w:numPr>
        <w:spacing w:after="0" w:before="240" w:lineRule="auto"/>
        <w:ind w:left="1587" w:hanging="79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Column 3, the date by which Supplier and/or its Sub-contractors must achieve the requirement set out in Column 2 and in that Column:</w:t>
      </w:r>
    </w:p>
    <w:p w:rsidR="00000000" w:rsidDel="00000000" w:rsidP="00000000" w:rsidRDefault="00000000" w:rsidRPr="00000000" w14:paraId="0000002D">
      <w:pPr>
        <w:numPr>
          <w:ilvl w:val="4"/>
          <w:numId w:val="2"/>
        </w:numPr>
        <w:spacing w:after="0" w:before="240" w:lineRule="auto"/>
        <w:ind w:left="2381" w:hanging="794"/>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"Expiry P.S.P" means the date immediately following the expiry of the Post Go-Live Stabilisation Period;</w:t>
      </w:r>
    </w:p>
    <w:p w:rsidR="00000000" w:rsidDel="00000000" w:rsidP="00000000" w:rsidRDefault="00000000" w:rsidRPr="00000000" w14:paraId="0000002E">
      <w:pPr>
        <w:numPr>
          <w:ilvl w:val="4"/>
          <w:numId w:val="2"/>
        </w:numPr>
        <w:spacing w:after="0" w:before="240" w:lineRule="auto"/>
        <w:ind w:left="2381" w:hanging="794"/>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"F.E.D." means the Framework Effective Date; and</w:t>
      </w:r>
    </w:p>
    <w:p w:rsidR="00000000" w:rsidDel="00000000" w:rsidP="00000000" w:rsidRDefault="00000000" w:rsidRPr="00000000" w14:paraId="0000002F">
      <w:pPr>
        <w:numPr>
          <w:ilvl w:val="4"/>
          <w:numId w:val="2"/>
        </w:numPr>
        <w:spacing w:after="0" w:before="240" w:lineRule="auto"/>
        <w:ind w:left="2381" w:hanging="794"/>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"S.C.D." means the first SCD Milestone Date set out in the Implementation Plan.</w:t>
      </w:r>
    </w:p>
    <w:p w:rsidR="00000000" w:rsidDel="00000000" w:rsidP="00000000" w:rsidRDefault="00000000" w:rsidRPr="00000000" w14:paraId="00000030">
      <w:pPr>
        <w:numPr>
          <w:ilvl w:val="3"/>
          <w:numId w:val="2"/>
        </w:numPr>
        <w:spacing w:after="0" w:before="240" w:lineRule="auto"/>
        <w:ind w:left="1587" w:hanging="79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Columns 4 to 7, whether or not the Supplier, the Analytics Sub-contractors, the Debtor Interaction Sub-contractors and/or the Infrastructure Sub-contractors and/or any subcontractors to those Sub-contractors or otherwise are required to have interim permission, be authorised, comply with or be Certified as compliant with the relevant Industry Standard and in those Columns "Y" means yes and "N" means no; and</w:t>
      </w:r>
    </w:p>
    <w:p w:rsidR="00000000" w:rsidDel="00000000" w:rsidP="00000000" w:rsidRDefault="00000000" w:rsidRPr="00000000" w14:paraId="00000031">
      <w:pPr>
        <w:numPr>
          <w:ilvl w:val="3"/>
          <w:numId w:val="2"/>
        </w:numPr>
        <w:spacing w:after="0" w:before="240" w:lineRule="auto"/>
        <w:ind w:left="1587" w:hanging="79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Columns 8 to 14, whether or not the relevant Sub-contractor who is performing the associated activity (e.g. data destruction and/or payment processing) is required to have interim permission, be authorised, comply with or be Certified as compliant with the relevant Industry Standard. </w:t>
      </w:r>
    </w:p>
    <w:p w:rsidR="00000000" w:rsidDel="00000000" w:rsidP="00000000" w:rsidRDefault="00000000" w:rsidRPr="00000000" w14:paraId="00000032">
      <w:pPr>
        <w:numPr>
          <w:ilvl w:val="1"/>
          <w:numId w:val="2"/>
        </w:numPr>
        <w:spacing w:after="0" w:before="240" w:lineRule="auto"/>
        <w:ind w:left="794" w:hanging="794"/>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Where the Supplier or a Sub-contractor is performing: </w:t>
      </w:r>
    </w:p>
    <w:p w:rsidR="00000000" w:rsidDel="00000000" w:rsidP="00000000" w:rsidRDefault="00000000" w:rsidRPr="00000000" w14:paraId="00000033">
      <w:pPr>
        <w:numPr>
          <w:ilvl w:val="3"/>
          <w:numId w:val="2"/>
        </w:numPr>
        <w:spacing w:after="0" w:before="240" w:lineRule="auto"/>
        <w:ind w:left="1587" w:hanging="79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"Data Destruction" activity, that person is required to be Certified as compliant with ISO/IEC 27001 except where the data destruction activity is performed in accordance with the requirements set out in Schedule 3.6 (Security Management); or</w:t>
      </w:r>
    </w:p>
    <w:p w:rsidR="00000000" w:rsidDel="00000000" w:rsidP="00000000" w:rsidRDefault="00000000" w:rsidRPr="00000000" w14:paraId="00000034">
      <w:pPr>
        <w:tabs>
          <w:tab w:val="left" w:pos="7660"/>
        </w:tabs>
        <w:rPr>
          <w:rFonts w:ascii="Arial" w:cs="Arial" w:eastAsia="Arial" w:hAnsi="Arial"/>
          <w:sz w:val="20"/>
          <w:szCs w:val="20"/>
        </w:rPr>
      </w:pPr>
      <w:r w:rsidDel="00000000" w:rsidR="00000000" w:rsidRPr="00000000">
        <w:rPr>
          <w:rFonts w:ascii="Arial" w:cs="Arial" w:eastAsia="Arial" w:hAnsi="Arial"/>
          <w:sz w:val="20"/>
          <w:szCs w:val="20"/>
          <w:rtl w:val="0"/>
        </w:rPr>
        <w:tab/>
      </w:r>
    </w:p>
    <w:p w:rsidR="00000000" w:rsidDel="00000000" w:rsidP="00000000" w:rsidRDefault="00000000" w:rsidRPr="00000000" w14:paraId="00000035">
      <w:pPr>
        <w:numPr>
          <w:ilvl w:val="3"/>
          <w:numId w:val="2"/>
        </w:numPr>
        <w:spacing w:after="0" w:before="240" w:lineRule="auto"/>
        <w:ind w:left="1587" w:hanging="79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"Fulfilment – Electronic" (i.e. the sending of e-mail or SMS messages to Debtors) activity, that person is required to be Certified as compliant with ISO/IEC 27001 except where that the fulfilment activity is performed in accordance with the requirements set out in Schedule 3.6 (Security Management).</w:t>
      </w:r>
    </w:p>
    <w:p w:rsidR="00000000" w:rsidDel="00000000" w:rsidP="00000000" w:rsidRDefault="00000000" w:rsidRPr="00000000" w14:paraId="00000036">
      <w:pPr>
        <w:numPr>
          <w:ilvl w:val="1"/>
          <w:numId w:val="2"/>
        </w:numPr>
        <w:spacing w:after="0" w:before="240" w:lineRule="auto"/>
        <w:ind w:left="794" w:hanging="794"/>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respect of the Debtor Interaction Sub-contractors and Sub-contractors who perform "Field Services" or such other activities that fall within the scope of the Payment Card Industry Data Security Standard, the requirement to be certified as compliant with the Payment Card Industry Data Security Standard shall be satisfied where such organisation has been certified in accordance with that Standard's requirements.  </w:t>
      </w:r>
    </w:p>
    <w:p w:rsidR="00000000" w:rsidDel="00000000" w:rsidP="00000000" w:rsidRDefault="00000000" w:rsidRPr="00000000" w14:paraId="00000037">
      <w:pPr>
        <w:numPr>
          <w:ilvl w:val="1"/>
          <w:numId w:val="2"/>
        </w:numPr>
        <w:spacing w:after="0" w:before="240" w:lineRule="auto"/>
        <w:ind w:left="794" w:hanging="794"/>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respect of Debtor Interaction Sub-contractors, the requirement Full Authorisation granted by the Financial Conduct Authority shall also be satisfied where: (a) a Debtor Interaction Sub-contractor is an Appointed Representative (as that term is defined by the Financial Conduct Authority) of an Affiliate of such Debtor Interaction Sub-contractor; and (b) such Affiliate of the Debtor Interaction Sub-Contractor has Full Authorisation granted by the Financial Conduct Authority.</w:t>
      </w:r>
    </w:p>
    <w:p w:rsidR="00000000" w:rsidDel="00000000" w:rsidP="00000000" w:rsidRDefault="00000000" w:rsidRPr="00000000" w14:paraId="00000038">
      <w:pPr>
        <w:numPr>
          <w:ilvl w:val="1"/>
          <w:numId w:val="2"/>
        </w:numPr>
        <w:spacing w:after="0" w:before="240" w:lineRule="auto"/>
        <w:ind w:left="794" w:hanging="794"/>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 the avoidance of doubt, where the Supplier is performing any of the activities listed in the table below, all the Supplier will be required to meet all standards applicable to those activities, subject to this section 1 of this document. </w:t>
      </w:r>
    </w:p>
    <w:p w:rsidR="00000000" w:rsidDel="00000000" w:rsidP="00000000" w:rsidRDefault="00000000" w:rsidRPr="00000000" w14:paraId="00000039">
      <w:pPr>
        <w:spacing w:after="0" w:before="240" w:lineRule="auto"/>
        <w:ind w:left="851"/>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A">
      <w:pPr>
        <w:spacing w:after="0" w:line="240" w:lineRule="auto"/>
        <w:rPr>
          <w:rFonts w:ascii="Arial" w:cs="Arial" w:eastAsia="Arial" w:hAnsi="Arial"/>
          <w:b w:val="1"/>
          <w:sz w:val="20"/>
          <w:szCs w:val="20"/>
        </w:rPr>
      </w:pPr>
      <w:r w:rsidDel="00000000" w:rsidR="00000000" w:rsidRPr="00000000">
        <w:br w:type="page"/>
      </w:r>
      <w:r w:rsidDel="00000000" w:rsidR="00000000" w:rsidRPr="00000000">
        <w:rPr>
          <w:rtl w:val="0"/>
        </w:rPr>
      </w:r>
    </w:p>
    <w:tbl>
      <w:tblPr>
        <w:tblStyle w:val="Table1"/>
        <w:tblW w:w="14953.000000000004"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28"/>
        <w:gridCol w:w="1843"/>
        <w:gridCol w:w="1275"/>
        <w:gridCol w:w="567"/>
        <w:gridCol w:w="425"/>
        <w:gridCol w:w="567"/>
        <w:gridCol w:w="567"/>
        <w:gridCol w:w="567"/>
        <w:gridCol w:w="567"/>
        <w:gridCol w:w="567"/>
        <w:gridCol w:w="567"/>
        <w:gridCol w:w="567"/>
        <w:gridCol w:w="567"/>
        <w:gridCol w:w="1379"/>
        <w:tblGridChange w:id="0">
          <w:tblGrid>
            <w:gridCol w:w="4928"/>
            <w:gridCol w:w="1843"/>
            <w:gridCol w:w="1275"/>
            <w:gridCol w:w="567"/>
            <w:gridCol w:w="425"/>
            <w:gridCol w:w="567"/>
            <w:gridCol w:w="567"/>
            <w:gridCol w:w="567"/>
            <w:gridCol w:w="567"/>
            <w:gridCol w:w="567"/>
            <w:gridCol w:w="567"/>
            <w:gridCol w:w="567"/>
            <w:gridCol w:w="567"/>
            <w:gridCol w:w="1379"/>
          </w:tblGrid>
        </w:tblGridChange>
      </w:tblGrid>
      <w:tr>
        <w:trPr>
          <w:trHeight w:val="415" w:hRule="atLeast"/>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B">
            <w:pPr>
              <w:spacing w:after="0" w:line="240"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C">
            <w:pPr>
              <w:spacing w:after="0" w:line="240"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D">
            <w:pPr>
              <w:spacing w:after="0" w:line="240"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03E">
            <w:pPr>
              <w:spacing w:after="0" w:line="240"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03F">
            <w:pPr>
              <w:spacing w:after="0" w:line="240"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040">
            <w:pPr>
              <w:spacing w:after="0" w:line="240"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41">
            <w:pPr>
              <w:spacing w:after="0" w:line="240" w:lineRule="auto"/>
              <w:jc w:val="center"/>
              <w:rPr>
                <w:rFonts w:ascii="Arial" w:cs="Arial" w:eastAsia="Arial" w:hAnsi="Arial"/>
                <w:sz w:val="20"/>
                <w:szCs w:val="20"/>
              </w:rPr>
            </w:pPr>
            <w:r w:rsidDel="00000000" w:rsidR="00000000" w:rsidRPr="00000000">
              <w:rPr>
                <w:rtl w:val="0"/>
              </w:rPr>
            </w:r>
          </w:p>
        </w:tc>
        <w:tc>
          <w:tcPr>
            <w:gridSpan w:val="7"/>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42">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Activity</w:t>
            </w:r>
          </w:p>
        </w:tc>
      </w:tr>
      <w:tr>
        <w:trPr>
          <w:trHeight w:val="3231" w:hRule="atLeast"/>
        </w:trPr>
        <w:tc>
          <w:tcPr>
            <w:tcBorders>
              <w:top w:color="000000" w:space="0" w:sz="0" w:val="nil"/>
              <w:left w:color="000000" w:space="0" w:sz="0" w:val="nil"/>
              <w:bottom w:color="000000" w:space="0" w:sz="4" w:val="single"/>
              <w:right w:color="000000" w:space="0" w:sz="0" w:val="nil"/>
            </w:tcBorders>
            <w:vAlign w:val="center"/>
          </w:tcPr>
          <w:p w:rsidR="00000000" w:rsidDel="00000000" w:rsidP="00000000" w:rsidRDefault="00000000" w:rsidRPr="00000000" w14:paraId="00000049">
            <w:pPr>
              <w:spacing w:after="0" w:line="240"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center"/>
          </w:tcPr>
          <w:p w:rsidR="00000000" w:rsidDel="00000000" w:rsidP="00000000" w:rsidRDefault="00000000" w:rsidRPr="00000000" w14:paraId="0000004A">
            <w:pPr>
              <w:spacing w:after="0" w:line="240"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B">
            <w:pPr>
              <w:spacing w:after="0" w:line="240" w:lineRule="auto"/>
              <w:jc w:val="both"/>
              <w:rPr>
                <w:rFonts w:ascii="Arial" w:cs="Arial" w:eastAsia="Arial" w:hAnsi="Arial"/>
                <w:sz w:val="20"/>
                <w:szCs w:val="20"/>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4C">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Supplier</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4D">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Analytics Sub-contractors</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4E">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Debtor Interaction Sub-contractors</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4F">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Infrastructure Sub-contractors</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0">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Data Destruction </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1">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Field Services</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2">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Fulfilment – Paper </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3">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Fulfilment - Electronic</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4">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Legal Recovery / Litigation</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5">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Payment Processing</w:t>
            </w:r>
          </w:p>
        </w:tc>
        <w:tc>
          <w:tcPr>
            <w:vMerge w:val="restart"/>
            <w:tcBorders>
              <w:top w:color="000000" w:space="0" w:sz="4" w:val="single"/>
              <w:left w:color="000000" w:space="0" w:sz="4" w:val="single"/>
              <w:right w:color="000000" w:space="0" w:sz="4" w:val="single"/>
            </w:tcBorders>
            <w:shd w:fill="d9d9d9" w:val="clear"/>
          </w:tcPr>
          <w:p w:rsidR="00000000" w:rsidDel="00000000" w:rsidP="00000000" w:rsidRDefault="00000000" w:rsidRPr="00000000" w14:paraId="00000056">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Data enrichment (and any subcontractors to Sub-contractors) who process Service Beneficiary Data as part of providing data enrichment services</w:t>
            </w:r>
          </w:p>
        </w:tc>
      </w:tr>
      <w:tr>
        <w:trPr>
          <w:trHeight w:val="357" w:hRule="atLeast"/>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7">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8">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Requirement</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9">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Date</w:t>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d9d9d9" w:val="clear"/>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r>
      <w:tr>
        <w:trPr>
          <w:trHeight w:val="407"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ISO 9001 (Quality Management Systems)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Certification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S.C.D.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r>
      <w:tr>
        <w:trPr>
          <w:trHeight w:val="407"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ISO 22301 (Societal security - Business continuity management systems – Requirements)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Certification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Expiry P.S.P.</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r>
      <w:tr>
        <w:trPr>
          <w:trHeight w:val="40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Credit Services Association Code of Practice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Compliance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S.C.D.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r>
      <w:tr>
        <w:trPr>
          <w:trHeight w:val="40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ISO/IEC 27001 (Information Technology – Security Techniques – Information Security Management Systems – Requirements)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Certification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F.E.D.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spacing w:after="0" w:line="240" w:lineRule="auto"/>
              <w:jc w:val="center"/>
              <w:rPr>
                <w:rFonts w:ascii="Arial" w:cs="Arial" w:eastAsia="Arial" w:hAnsi="Arial"/>
                <w:color w:val="92d050"/>
                <w:sz w:val="20"/>
                <w:szCs w:val="20"/>
              </w:rPr>
            </w:pPr>
            <w:r w:rsidDel="00000000" w:rsidR="00000000" w:rsidRPr="00000000">
              <w:rPr>
                <w:rFonts w:ascii="Arial" w:cs="Arial" w:eastAsia="Arial" w:hAnsi="Arial"/>
                <w:sz w:val="20"/>
                <w:szCs w:val="20"/>
                <w:rtl w:val="0"/>
              </w:rPr>
              <w:t xml:space="preserve">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r>
      <w:tr>
        <w:trPr>
          <w:trHeight w:val="40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Financial Conduct Authority – Full Authorisation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Full Authorisation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F.E.D.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r>
      <w:tr>
        <w:trPr>
          <w:trHeight w:val="40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Payment Card Industry Data Security Standard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Certification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S.C.D.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r>
    </w:tbl>
    <w:p w:rsidR="00000000" w:rsidDel="00000000" w:rsidP="00000000" w:rsidRDefault="00000000" w:rsidRPr="00000000" w14:paraId="000000B9">
      <w:pPr>
        <w:spacing w:after="0" w:befor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"Y*" means that the requirement for the applicable organisation to be Certified as compliant with ISO/IEC 27001 is subject to paragraph 1.2 above.</w:t>
      </w:r>
    </w:p>
    <w:p w:rsidR="00000000" w:rsidDel="00000000" w:rsidP="00000000" w:rsidRDefault="00000000" w:rsidRPr="00000000" w14:paraId="000000BA">
      <w:pPr>
        <w:spacing w:after="0" w:befor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“Y°” means that the requirement for Debtor Interaction Sub-contractors to have Full Authorisation is subject to paragraph 1.4 above.</w:t>
      </w:r>
    </w:p>
    <w:p w:rsidR="00000000" w:rsidDel="00000000" w:rsidP="00000000" w:rsidRDefault="00000000" w:rsidRPr="00000000" w14:paraId="000000BB">
      <w:pPr>
        <w:spacing w:after="0" w:before="240" w:lineRule="auto"/>
        <w:rPr>
          <w:rFonts w:ascii="Arial" w:cs="Arial" w:eastAsia="Arial" w:hAnsi="Arial"/>
          <w:sz w:val="20"/>
          <w:szCs w:val="20"/>
        </w:rPr>
      </w:pPr>
      <w:bookmarkStart w:colFirst="0" w:colLast="0" w:name="_heading=h.3znysh7" w:id="3"/>
      <w:bookmarkEnd w:id="3"/>
      <w:r w:rsidDel="00000000" w:rsidR="00000000" w:rsidRPr="00000000">
        <w:rPr>
          <w:rFonts w:ascii="Arial" w:cs="Arial" w:eastAsia="Arial" w:hAnsi="Arial"/>
          <w:sz w:val="16"/>
          <w:szCs w:val="16"/>
          <w:rtl w:val="0"/>
        </w:rPr>
        <w:t xml:space="preserve">"Y^" means that the requirement for the applicable organisation to be Certified as compliant with the Payment Card Industry Data Security Standard is subject to paragraph 1.3 above.</w:t>
      </w:r>
      <w:r w:rsidDel="00000000" w:rsidR="00000000" w:rsidRPr="00000000">
        <w:br w:type="page"/>
      </w:r>
      <w:r w:rsidDel="00000000" w:rsidR="00000000" w:rsidRPr="00000000">
        <w:rPr>
          <w:rtl w:val="0"/>
        </w:rPr>
      </w:r>
    </w:p>
    <w:p w:rsidR="00000000" w:rsidDel="00000000" w:rsidP="00000000" w:rsidRDefault="00000000" w:rsidRPr="00000000" w14:paraId="000000BC">
      <w:pPr>
        <w:keepNext w:val="1"/>
        <w:keepLines w:val="1"/>
        <w:spacing w:after="120" w:before="12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Annex 2 </w:t>
      </w:r>
    </w:p>
    <w:p w:rsidR="00000000" w:rsidDel="00000000" w:rsidP="00000000" w:rsidRDefault="00000000" w:rsidRPr="00000000" w14:paraId="000000BD">
      <w:pPr>
        <w:keepNext w:val="1"/>
        <w:keepLines w:val="1"/>
        <w:spacing w:after="120" w:before="12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Public Sector Standards</w:t>
      </w:r>
    </w:p>
    <w:p w:rsidR="00000000" w:rsidDel="00000000" w:rsidP="00000000" w:rsidRDefault="00000000" w:rsidRPr="00000000" w14:paraId="000000BE">
      <w:pPr>
        <w:keepNext w:val="1"/>
        <w:numPr>
          <w:ilvl w:val="0"/>
          <w:numId w:val="3"/>
        </w:numPr>
        <w:spacing w:after="0" w:before="240" w:lineRule="auto"/>
        <w:ind w:left="794" w:hanging="794"/>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Introduction</w:t>
      </w:r>
    </w:p>
    <w:p w:rsidR="00000000" w:rsidDel="00000000" w:rsidP="00000000" w:rsidRDefault="00000000" w:rsidRPr="00000000" w14:paraId="000000BF">
      <w:pPr>
        <w:numPr>
          <w:ilvl w:val="1"/>
          <w:numId w:val="2"/>
        </w:numPr>
        <w:spacing w:after="0" w:before="240" w:lineRule="auto"/>
        <w:ind w:left="794" w:hanging="794"/>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table sets out:</w:t>
      </w:r>
    </w:p>
    <w:p w:rsidR="00000000" w:rsidDel="00000000" w:rsidP="00000000" w:rsidRDefault="00000000" w:rsidRPr="00000000" w14:paraId="000000C0">
      <w:pPr>
        <w:numPr>
          <w:ilvl w:val="3"/>
          <w:numId w:val="2"/>
        </w:numPr>
        <w:spacing w:after="0" w:before="240" w:lineRule="auto"/>
        <w:ind w:left="1587" w:hanging="79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Column 1, the relevant Public Sector Standard;</w:t>
      </w:r>
    </w:p>
    <w:p w:rsidR="00000000" w:rsidDel="00000000" w:rsidP="00000000" w:rsidRDefault="00000000" w:rsidRPr="00000000" w14:paraId="000000C1">
      <w:pPr>
        <w:numPr>
          <w:ilvl w:val="3"/>
          <w:numId w:val="2"/>
        </w:numPr>
        <w:spacing w:after="0" w:before="240" w:lineRule="auto"/>
        <w:ind w:left="1587" w:hanging="79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Column 2, whether compliance with the relevant Public Sector Standard is required; </w:t>
      </w:r>
    </w:p>
    <w:p w:rsidR="00000000" w:rsidDel="00000000" w:rsidP="00000000" w:rsidRDefault="00000000" w:rsidRPr="00000000" w14:paraId="000000C2">
      <w:pPr>
        <w:numPr>
          <w:ilvl w:val="3"/>
          <w:numId w:val="2"/>
        </w:numPr>
        <w:spacing w:after="0" w:before="240" w:lineRule="auto"/>
        <w:ind w:left="1587" w:hanging="79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Column 3, the date by which compliance must be achieved in respect of the relevant Public Sector Standard and in that Column "A.G.D." means the Framework Milestone Date in respect of Milestone 1 "Accreditation granted" set out in the Framework Implementation Plan;</w:t>
      </w:r>
    </w:p>
    <w:p w:rsidR="00000000" w:rsidDel="00000000" w:rsidP="00000000" w:rsidRDefault="00000000" w:rsidRPr="00000000" w14:paraId="000000C3">
      <w:pPr>
        <w:numPr>
          <w:ilvl w:val="3"/>
          <w:numId w:val="2"/>
        </w:numPr>
        <w:spacing w:after="0" w:before="240" w:lineRule="auto"/>
        <w:ind w:left="1587" w:hanging="79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Columns 4 to 7, whether or not the Supplier, the Analytics Sub-contractors, the Debtor Interaction Sub-contractors and/or the Infrastructure Sub-contractors are required to comply with the relevant Public Sector Standard; and</w:t>
      </w:r>
    </w:p>
    <w:p w:rsidR="00000000" w:rsidDel="00000000" w:rsidP="00000000" w:rsidRDefault="00000000" w:rsidRPr="00000000" w14:paraId="000000C4">
      <w:pPr>
        <w:numPr>
          <w:ilvl w:val="3"/>
          <w:numId w:val="2"/>
        </w:numPr>
        <w:spacing w:after="0" w:before="240" w:lineRule="auto"/>
        <w:ind w:left="1587" w:hanging="79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Columns 8 to 13, whether or not the relevant Sub-contractor who is performing the associated activity (e.g. data destruction and/or payment processing) is required to comply with Public Sector Standard and in those Columns "Y" means yes and "N" means no.</w:t>
      </w:r>
    </w:p>
    <w:p w:rsidR="00000000" w:rsidDel="00000000" w:rsidP="00000000" w:rsidRDefault="00000000" w:rsidRPr="00000000" w14:paraId="000000C5">
      <w:pPr>
        <w:keepNext w:val="1"/>
        <w:numPr>
          <w:ilvl w:val="0"/>
          <w:numId w:val="2"/>
        </w:numPr>
        <w:spacing w:after="0" w:before="240" w:lineRule="auto"/>
        <w:ind w:left="794" w:hanging="794"/>
        <w:jc w:val="both"/>
        <w:rPr>
          <w:rFonts w:ascii="Arial" w:cs="Arial" w:eastAsia="Arial" w:hAnsi="Arial"/>
          <w:sz w:val="20"/>
          <w:szCs w:val="20"/>
        </w:rPr>
      </w:pPr>
      <w:bookmarkStart w:colFirst="0" w:colLast="0" w:name="_heading=h.2et92p0" w:id="4"/>
      <w:bookmarkEnd w:id="4"/>
      <w:r w:rsidDel="00000000" w:rsidR="00000000" w:rsidRPr="00000000">
        <w:rPr>
          <w:rFonts w:ascii="Arial" w:cs="Arial" w:eastAsia="Arial" w:hAnsi="Arial"/>
          <w:sz w:val="20"/>
          <w:szCs w:val="20"/>
          <w:rtl w:val="0"/>
        </w:rPr>
        <w:t xml:space="preserve">Where a Supplier does not contract an Infrastructure Sub-Contractor, the Supplier shall be required to achieve the standards applicable to an Infrastructure Sub-Contractor as set out in the table below.</w:t>
      </w:r>
    </w:p>
    <w:p w:rsidR="00000000" w:rsidDel="00000000" w:rsidP="00000000" w:rsidRDefault="00000000" w:rsidRPr="00000000" w14:paraId="000000C6">
      <w:pPr>
        <w:spacing w:after="0" w:line="240" w:lineRule="auto"/>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7">
      <w:pPr>
        <w:spacing w:after="0" w:before="240" w:lineRule="auto"/>
        <w:ind w:left="1587"/>
        <w:jc w:val="both"/>
        <w:rPr>
          <w:rFonts w:ascii="Arial" w:cs="Arial" w:eastAsia="Arial" w:hAnsi="Arial"/>
          <w:sz w:val="20"/>
          <w:szCs w:val="20"/>
        </w:rPr>
      </w:pPr>
      <w:r w:rsidDel="00000000" w:rsidR="00000000" w:rsidRPr="00000000">
        <w:rPr>
          <w:rtl w:val="0"/>
        </w:rPr>
      </w:r>
    </w:p>
    <w:tbl>
      <w:tblPr>
        <w:tblStyle w:val="Table2"/>
        <w:tblW w:w="143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62"/>
        <w:gridCol w:w="1559"/>
        <w:gridCol w:w="1418"/>
        <w:gridCol w:w="528"/>
        <w:gridCol w:w="528"/>
        <w:gridCol w:w="780"/>
        <w:gridCol w:w="270"/>
        <w:gridCol w:w="528"/>
        <w:gridCol w:w="528"/>
        <w:gridCol w:w="529"/>
        <w:gridCol w:w="528"/>
        <w:gridCol w:w="528"/>
        <w:gridCol w:w="529"/>
        <w:tblGridChange w:id="0">
          <w:tblGrid>
            <w:gridCol w:w="6062"/>
            <w:gridCol w:w="1559"/>
            <w:gridCol w:w="1418"/>
            <w:gridCol w:w="528"/>
            <w:gridCol w:w="528"/>
            <w:gridCol w:w="780"/>
            <w:gridCol w:w="270"/>
            <w:gridCol w:w="528"/>
            <w:gridCol w:w="528"/>
            <w:gridCol w:w="529"/>
            <w:gridCol w:w="528"/>
            <w:gridCol w:w="528"/>
            <w:gridCol w:w="529"/>
          </w:tblGrid>
        </w:tblGridChange>
      </w:tblGrid>
      <w:tr>
        <w:trPr>
          <w:trHeight w:val="415" w:hRule="atLeast"/>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8">
            <w:pPr>
              <w:spacing w:after="0" w:line="240"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9">
            <w:pPr>
              <w:spacing w:after="0" w:line="240"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A">
            <w:pPr>
              <w:spacing w:after="0" w:line="240"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0CB">
            <w:pPr>
              <w:spacing w:after="0" w:line="240"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0CC">
            <w:pPr>
              <w:spacing w:after="0" w:line="240"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0CD">
            <w:pPr>
              <w:spacing w:after="0" w:line="240" w:lineRule="auto"/>
              <w:jc w:val="center"/>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CE">
            <w:pPr>
              <w:spacing w:after="0" w:line="240" w:lineRule="auto"/>
              <w:jc w:val="center"/>
              <w:rPr>
                <w:rFonts w:ascii="Arial" w:cs="Arial" w:eastAsia="Arial" w:hAnsi="Arial"/>
                <w:sz w:val="20"/>
                <w:szCs w:val="20"/>
              </w:rPr>
            </w:pPr>
            <w:r w:rsidDel="00000000" w:rsidR="00000000" w:rsidRPr="00000000">
              <w:rPr>
                <w:rtl w:val="0"/>
              </w:rPr>
            </w:r>
          </w:p>
        </w:tc>
        <w:tc>
          <w:tcPr>
            <w:gridSpan w:val="6"/>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CF">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Activity</w:t>
            </w:r>
          </w:p>
        </w:tc>
      </w:tr>
      <w:tr>
        <w:trPr>
          <w:trHeight w:val="3295" w:hRule="atLeast"/>
        </w:trPr>
        <w:tc>
          <w:tcPr>
            <w:tcBorders>
              <w:top w:color="000000" w:space="0" w:sz="0" w:val="nil"/>
              <w:left w:color="000000" w:space="0" w:sz="0" w:val="nil"/>
              <w:bottom w:color="000000" w:space="0" w:sz="4" w:val="single"/>
              <w:right w:color="000000" w:space="0" w:sz="0" w:val="nil"/>
            </w:tcBorders>
            <w:vAlign w:val="center"/>
          </w:tcPr>
          <w:p w:rsidR="00000000" w:rsidDel="00000000" w:rsidP="00000000" w:rsidRDefault="00000000" w:rsidRPr="00000000" w14:paraId="000000D5">
            <w:pPr>
              <w:spacing w:after="0" w:line="240"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vAlign w:val="center"/>
          </w:tcPr>
          <w:p w:rsidR="00000000" w:rsidDel="00000000" w:rsidP="00000000" w:rsidRDefault="00000000" w:rsidRPr="00000000" w14:paraId="000000D6">
            <w:pPr>
              <w:spacing w:after="0" w:line="240"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7">
            <w:pPr>
              <w:spacing w:after="0" w:line="240" w:lineRule="auto"/>
              <w:jc w:val="both"/>
              <w:rPr>
                <w:rFonts w:ascii="Arial" w:cs="Arial" w:eastAsia="Arial" w:hAnsi="Arial"/>
                <w:sz w:val="20"/>
                <w:szCs w:val="20"/>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8">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Supplier</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9">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Analytics Sub-contractors</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A">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Debtor Interaction Sub-contractors</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B">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Infrastructure Sub-contractors</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C">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Data Destruction </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D">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Field Services</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E">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Fulfilment – Paper </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F">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Fulfilment - Electronic</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0">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Legal Recovery / Litigation</w:t>
            </w:r>
          </w:p>
        </w:tc>
        <w:tc>
          <w:tcPr>
            <w:vMerge w:val="restart"/>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1">
            <w:pPr>
              <w:spacing w:after="0" w:line="240" w:lineRule="auto"/>
              <w:ind w:left="113" w:right="113"/>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Payment Processing</w:t>
            </w:r>
          </w:p>
        </w:tc>
      </w:tr>
      <w:tr>
        <w:trPr>
          <w:trHeight w:val="407" w:hRule="atLeast"/>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2">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3">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Requirement</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4">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Date</w:t>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r>
      <w:tr>
        <w:trPr>
          <w:trHeight w:val="407"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HMG Security Policy Framework (April 2014)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Compliance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A.G.D.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r>
      <w:tr>
        <w:trPr>
          <w:trHeight w:val="407"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HMG IS1 &amp; 2 – Information Risk Management (Issue 4.0, April 2012)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Compliance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A.G.D.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r>
      <w:tr>
        <w:trPr>
          <w:trHeight w:val="40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HMG IS 1 &amp; 2 – Supplement – Technical Risk Assessment and Risk Treatment (Issue 1.0, April 2012)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A">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Compliance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A.G.D.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r>
      <w:tr>
        <w:trPr>
          <w:trHeight w:val="40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HMG IS 5 – Secure Sanitisation of Protectively Market or Sensitive Information (Issue 3.1, October 2009)</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Compliance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A.G.D.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r>
      <w:tr>
        <w:trPr>
          <w:trHeight w:val="40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HMG IS 7 – Authentication of Internal Users Handling Government Information (Issue 1.0, October 2010)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Compliance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A.G.D.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r>
      <w:tr>
        <w:trPr>
          <w:trHeight w:val="40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HMG Baseline Personnel Security Standard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Compliance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A.G.D.</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w:t>
            </w:r>
          </w:p>
        </w:tc>
      </w:tr>
    </w:tbl>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r>
    </w:p>
    <w:sectPr>
      <w:type w:val="nextPage"/>
      <w:pgSz w:h="16838" w:w="11906"/>
      <w:pgMar w:bottom="1440" w:top="1440" w:left="1440" w:right="1440" w:header="708" w:footer="708"/>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RM6208 – Debt Management Services</w:t>
      <w:tab/>
      <w:t xml:space="preserve">                                           </w:t>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tabs>
        <w:tab w:val="right" w:pos="1375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4">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ab/>
    </w:r>
    <w:r w:rsidDel="00000000" w:rsidR="00000000" w:rsidRPr="00000000">
      <w:rPr>
        <w:rFonts w:ascii="Arial" w:cs="Arial" w:eastAsia="Arial" w:hAnsi="Arial"/>
        <w:color w:val="bfbfbf"/>
        <w:sz w:val="20"/>
        <w:szCs w:val="20"/>
        <w:rtl w:val="0"/>
      </w:rPr>
      <w:tab/>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3.5 (Standards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94" w:hanging="794"/>
      </w:pPr>
      <w:rPr>
        <w:b w:val="1"/>
        <w:i w:val="0"/>
      </w:rPr>
    </w:lvl>
    <w:lvl w:ilvl="1">
      <w:start w:val="1"/>
      <w:numFmt w:val="decimal"/>
      <w:lvlText w:val="%1.%2"/>
      <w:lvlJc w:val="left"/>
      <w:pPr>
        <w:ind w:left="794" w:hanging="794"/>
      </w:pPr>
      <w:rPr>
        <w:b w:val="0"/>
        <w:i w:val="0"/>
        <w:smallCaps w:val="0"/>
        <w:strike w:val="0"/>
        <w:color w:val="000000"/>
        <w:u w:val="none"/>
        <w:vertAlign w:val="baseline"/>
      </w:rPr>
    </w:lvl>
    <w:lvl w:ilvl="2">
      <w:start w:val="1"/>
      <w:numFmt w:val="decimal"/>
      <w:lvlText w:val="%1.%2.%3"/>
      <w:lvlJc w:val="left"/>
      <w:pPr>
        <w:ind w:left="794" w:hanging="794"/>
      </w:pPr>
      <w:rPr>
        <w:b w:val="0"/>
      </w:rPr>
    </w:lvl>
    <w:lvl w:ilvl="3">
      <w:start w:val="1"/>
      <w:numFmt w:val="lowerLetter"/>
      <w:lvlText w:val="(%4)"/>
      <w:lvlJc w:val="left"/>
      <w:pPr>
        <w:ind w:left="1587" w:hanging="793.0000000000001"/>
      </w:pPr>
      <w:rPr>
        <w:b w:val="0"/>
        <w:i w:val="0"/>
      </w:rPr>
    </w:lvl>
    <w:lvl w:ilvl="4">
      <w:start w:val="1"/>
      <w:numFmt w:val="lowerRoman"/>
      <w:lvlText w:val="(%5)"/>
      <w:lvlJc w:val="left"/>
      <w:pPr>
        <w:ind w:left="2381" w:hanging="794"/>
      </w:pPr>
      <w:rPr/>
    </w:lvl>
    <w:lvl w:ilvl="5">
      <w:start w:val="1"/>
      <w:numFmt w:val="upperLetter"/>
      <w:lvlText w:val="(%6)"/>
      <w:lvlJc w:val="left"/>
      <w:pPr>
        <w:ind w:left="3175" w:hanging="794"/>
      </w:pPr>
      <w:rPr/>
    </w:lvl>
    <w:lvl w:ilvl="6">
      <w:start w:val="1"/>
      <w:numFmt w:val="decimal"/>
      <w:lvlText w:val="UNDEFINED"/>
      <w:lvlJc w:val="left"/>
      <w:pPr>
        <w:ind w:left="3969" w:hanging="794"/>
      </w:pPr>
      <w:rPr/>
    </w:lvl>
    <w:lvl w:ilvl="7">
      <w:start w:val="1"/>
      <w:numFmt w:val="decimal"/>
      <w:lvlText w:val="UNDEFINED"/>
      <w:lvlJc w:val="left"/>
      <w:pPr>
        <w:ind w:left="4762" w:hanging="793"/>
      </w:pPr>
      <w:rPr/>
    </w:lvl>
    <w:lvl w:ilvl="8">
      <w:start w:val="1"/>
      <w:numFmt w:val="decimal"/>
      <w:lvlText w:val="UNDEFINED"/>
      <w:lvlJc w:val="left"/>
      <w:pPr>
        <w:ind w:left="5556" w:hanging="794"/>
      </w:pPr>
      <w:rPr/>
    </w:lvl>
  </w:abstractNum>
  <w:abstractNum w:abstractNumId="2">
    <w:lvl w:ilvl="0">
      <w:start w:val="1"/>
      <w:numFmt w:val="decimal"/>
      <w:lvlText w:val="%1."/>
      <w:lvlJc w:val="left"/>
      <w:pPr>
        <w:ind w:left="794" w:hanging="794"/>
      </w:pPr>
      <w:rPr>
        <w:b w:val="1"/>
        <w:i w:val="0"/>
      </w:rPr>
    </w:lvl>
    <w:lvl w:ilvl="1">
      <w:start w:val="1"/>
      <w:numFmt w:val="decimal"/>
      <w:lvlText w:val="%1.%2"/>
      <w:lvlJc w:val="left"/>
      <w:pPr>
        <w:ind w:left="794" w:hanging="794"/>
      </w:pPr>
      <w:rPr>
        <w:b w:val="0"/>
        <w:i w:val="0"/>
        <w:smallCaps w:val="0"/>
        <w:strike w:val="0"/>
        <w:color w:val="000000"/>
        <w:u w:val="none"/>
        <w:vertAlign w:val="baseline"/>
      </w:rPr>
    </w:lvl>
    <w:lvl w:ilvl="2">
      <w:start w:val="1"/>
      <w:numFmt w:val="decimal"/>
      <w:lvlText w:val="%1.%2.%3"/>
      <w:lvlJc w:val="left"/>
      <w:pPr>
        <w:ind w:left="794" w:hanging="794"/>
      </w:pPr>
      <w:rPr>
        <w:b w:val="0"/>
      </w:rPr>
    </w:lvl>
    <w:lvl w:ilvl="3">
      <w:start w:val="1"/>
      <w:numFmt w:val="lowerLetter"/>
      <w:lvlText w:val="(%4)"/>
      <w:lvlJc w:val="left"/>
      <w:pPr>
        <w:ind w:left="1587" w:hanging="793.0000000000001"/>
      </w:pPr>
      <w:rPr>
        <w:b w:val="0"/>
        <w:i w:val="0"/>
      </w:rPr>
    </w:lvl>
    <w:lvl w:ilvl="4">
      <w:start w:val="1"/>
      <w:numFmt w:val="lowerRoman"/>
      <w:lvlText w:val="(%5)"/>
      <w:lvlJc w:val="left"/>
      <w:pPr>
        <w:ind w:left="2381" w:hanging="794"/>
      </w:pPr>
      <w:rPr/>
    </w:lvl>
    <w:lvl w:ilvl="5">
      <w:start w:val="1"/>
      <w:numFmt w:val="upperLetter"/>
      <w:lvlText w:val="(%6)"/>
      <w:lvlJc w:val="left"/>
      <w:pPr>
        <w:ind w:left="3175" w:hanging="794"/>
      </w:pPr>
      <w:rPr/>
    </w:lvl>
    <w:lvl w:ilvl="6">
      <w:start w:val="1"/>
      <w:numFmt w:val="decimal"/>
      <w:lvlText w:val="UNDEFINED"/>
      <w:lvlJc w:val="left"/>
      <w:pPr>
        <w:ind w:left="3969" w:hanging="794"/>
      </w:pPr>
      <w:rPr/>
    </w:lvl>
    <w:lvl w:ilvl="7">
      <w:start w:val="1"/>
      <w:numFmt w:val="decimal"/>
      <w:lvlText w:val="UNDEFINED"/>
      <w:lvlJc w:val="left"/>
      <w:pPr>
        <w:ind w:left="4762" w:hanging="793"/>
      </w:pPr>
      <w:rPr/>
    </w:lvl>
    <w:lvl w:ilvl="8">
      <w:start w:val="1"/>
      <w:numFmt w:val="decimal"/>
      <w:lvlText w:val="UNDEFINED"/>
      <w:lvlJc w:val="left"/>
      <w:pPr>
        <w:ind w:left="5556" w:hanging="794"/>
      </w:pPr>
      <w:rPr/>
    </w:lvl>
  </w:abstractNum>
  <w:abstractNum w:abstractNumId="3">
    <w:lvl w:ilvl="0">
      <w:start w:val="1"/>
      <w:numFmt w:val="decimal"/>
      <w:lvlText w:val="%1."/>
      <w:lvlJc w:val="left"/>
      <w:pPr>
        <w:ind w:left="794" w:hanging="794"/>
      </w:pPr>
      <w:rPr>
        <w:b w:val="1"/>
        <w:i w:val="0"/>
      </w:rPr>
    </w:lvl>
    <w:lvl w:ilvl="1">
      <w:start w:val="1"/>
      <w:numFmt w:val="decimal"/>
      <w:lvlText w:val="%1.%2"/>
      <w:lvlJc w:val="left"/>
      <w:pPr>
        <w:ind w:left="794" w:hanging="794"/>
      </w:pPr>
      <w:rPr>
        <w:b w:val="0"/>
        <w:i w:val="0"/>
        <w:smallCaps w:val="0"/>
        <w:strike w:val="0"/>
        <w:color w:val="000000"/>
        <w:u w:val="none"/>
        <w:vertAlign w:val="baseline"/>
      </w:rPr>
    </w:lvl>
    <w:lvl w:ilvl="2">
      <w:start w:val="1"/>
      <w:numFmt w:val="decimal"/>
      <w:lvlText w:val="%1.%2.%3"/>
      <w:lvlJc w:val="left"/>
      <w:pPr>
        <w:ind w:left="794" w:hanging="794"/>
      </w:pPr>
      <w:rPr>
        <w:b w:val="0"/>
      </w:rPr>
    </w:lvl>
    <w:lvl w:ilvl="3">
      <w:start w:val="1"/>
      <w:numFmt w:val="lowerLetter"/>
      <w:lvlText w:val="(%4)"/>
      <w:lvlJc w:val="left"/>
      <w:pPr>
        <w:ind w:left="1587" w:hanging="793.0000000000001"/>
      </w:pPr>
      <w:rPr>
        <w:b w:val="0"/>
        <w:i w:val="0"/>
      </w:rPr>
    </w:lvl>
    <w:lvl w:ilvl="4">
      <w:start w:val="1"/>
      <w:numFmt w:val="lowerRoman"/>
      <w:lvlText w:val="(%5)"/>
      <w:lvlJc w:val="left"/>
      <w:pPr>
        <w:ind w:left="2381" w:hanging="794"/>
      </w:pPr>
      <w:rPr/>
    </w:lvl>
    <w:lvl w:ilvl="5">
      <w:start w:val="1"/>
      <w:numFmt w:val="upperLetter"/>
      <w:lvlText w:val="(%6)"/>
      <w:lvlJc w:val="left"/>
      <w:pPr>
        <w:ind w:left="3175" w:hanging="794"/>
      </w:pPr>
      <w:rPr/>
    </w:lvl>
    <w:lvl w:ilvl="6">
      <w:start w:val="1"/>
      <w:numFmt w:val="decimal"/>
      <w:lvlText w:val="UNDEFINED"/>
      <w:lvlJc w:val="left"/>
      <w:pPr>
        <w:ind w:left="3969" w:hanging="794"/>
      </w:pPr>
      <w:rPr/>
    </w:lvl>
    <w:lvl w:ilvl="7">
      <w:start w:val="1"/>
      <w:numFmt w:val="decimal"/>
      <w:lvlText w:val="UNDEFINED"/>
      <w:lvlJc w:val="left"/>
      <w:pPr>
        <w:ind w:left="4762" w:hanging="793"/>
      </w:pPr>
      <w:rPr/>
    </w:lvl>
    <w:lvl w:ilvl="8">
      <w:start w:val="1"/>
      <w:numFmt w:val="decimal"/>
      <w:lvlText w:val="UNDEFINED"/>
      <w:lvlJc w:val="left"/>
      <w:pPr>
        <w:ind w:left="5556" w:hanging="794"/>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uiPriority w:val="99"/>
    <w:qFormat w:val="1"/>
    <w:p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1GuidanceChar" w:customStyle="1">
    <w:name w:val="GPS L1 Guidance Char"/>
    <w:basedOn w:val="DefaultParagraphFont"/>
    <w:link w:val="GPSL1Guidance"/>
    <w:locked w:val="1"/>
    <w:rPr>
      <w:rFonts w:ascii="Calibri" w:hAnsi="Calibri"/>
      <w:b w:val="1"/>
      <w:bCs w:val="1"/>
      <w:i w:val="1"/>
      <w:iCs w:val="1"/>
    </w:rPr>
  </w:style>
  <w:style w:type="paragraph" w:styleId="GPSL1Guidance" w:customStyle="1">
    <w:name w:val="GPS L1 Guidance"/>
    <w:basedOn w:val="Normal"/>
    <w:link w:val="GPSL1GuidanceChar"/>
    <w:pPr>
      <w:overflowPunct w:val="0"/>
      <w:autoSpaceDE w:val="0"/>
      <w:autoSpaceDN w:val="0"/>
      <w:spacing w:after="120" w:before="240" w:line="240" w:lineRule="auto"/>
      <w:ind w:left="426"/>
      <w:jc w:val="both"/>
    </w:pPr>
    <w:rPr>
      <w:rFonts w:cstheme="minorBidi" w:eastAsiaTheme="minorHAnsi"/>
      <w:b w:val="1"/>
      <w:bCs w:val="1"/>
      <w:i w:val="1"/>
      <w:iCs w:val="1"/>
    </w:rPr>
  </w:style>
  <w:style w:type="character" w:styleId="GPSL1indentChar" w:customStyle="1">
    <w:name w:val="GPS L1 indent Char"/>
    <w:basedOn w:val="DefaultParagraphFont"/>
    <w:link w:val="GPSL1indent"/>
    <w:locked w:val="1"/>
    <w:rPr>
      <w:rFonts w:ascii="Calibri" w:hAnsi="Calibri"/>
    </w:rPr>
  </w:style>
  <w:style w:type="paragraph" w:styleId="GPSL1indent" w:customStyle="1">
    <w:name w:val="GPS L1 indent"/>
    <w:basedOn w:val="Normal"/>
    <w:link w:val="GPSL1indentChar"/>
    <w:pPr>
      <w:overflowPunct w:val="0"/>
      <w:autoSpaceDE w:val="0"/>
      <w:autoSpaceDN w:val="0"/>
      <w:spacing w:after="240" w:line="240" w:lineRule="auto"/>
      <w:ind w:left="709"/>
      <w:jc w:val="both"/>
    </w:pPr>
    <w:rPr>
      <w:rFonts w:cstheme="minorBidi" w:eastAsiaTheme="minorHAnsi"/>
    </w:rPr>
  </w:style>
  <w:style w:type="character" w:styleId="GPSL2NumberedChar" w:customStyle="1">
    <w:name w:val="GPS L2 Numbered Char"/>
    <w:basedOn w:val="DefaultParagraphFont"/>
    <w:link w:val="GPSL2Numbered"/>
    <w:locked w:val="1"/>
    <w:rPr>
      <w:rFonts w:ascii="Calibri" w:hAnsi="Calibri"/>
      <w:lang w:eastAsia="zh-CN"/>
    </w:rPr>
  </w:style>
  <w:style w:type="paragraph" w:styleId="GPSL2Numbered" w:customStyle="1">
    <w:name w:val="GPS L2 Numbered"/>
    <w:basedOn w:val="Normal"/>
    <w:link w:val="GPSL2NumberedChar"/>
    <w:qFormat w:val="1"/>
    <w:pPr>
      <w:spacing w:after="120" w:before="120" w:line="240" w:lineRule="auto"/>
      <w:jc w:val="both"/>
    </w:pPr>
    <w:rPr>
      <w:rFonts w:cstheme="minorBidi" w:eastAsiaTheme="minorHAnsi"/>
      <w:lang w:eastAsia="zh-CN"/>
    </w:r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ListParagraph">
    <w:name w:val="List Paragraph"/>
    <w:basedOn w:val="Normal"/>
    <w:uiPriority w:val="34"/>
    <w:qFormat w:val="1"/>
    <w:rsid w:val="002D3A71"/>
    <w:pPr>
      <w:ind w:left="720"/>
      <w:contextualSpacing w:val="1"/>
    </w:pPr>
  </w:style>
  <w:style w:type="paragraph" w:styleId="FFWLevel1" w:customStyle="1">
    <w:name w:val="FFW Level 1"/>
    <w:basedOn w:val="Normal"/>
    <w:next w:val="FFWLevel2"/>
    <w:locked w:val="1"/>
    <w:rsid w:val="009C2D35"/>
    <w:pPr>
      <w:keepNext w:val="1"/>
      <w:numPr>
        <w:numId w:val="6"/>
      </w:numPr>
      <w:spacing w:after="0" w:before="240" w:line="260" w:lineRule="atLeast"/>
      <w:jc w:val="both"/>
    </w:pPr>
    <w:rPr>
      <w:rFonts w:ascii="Arial" w:cs="Arial" w:eastAsia="Times New Roman" w:hAnsi="Arial"/>
      <w:b w:val="1"/>
      <w:sz w:val="20"/>
      <w:szCs w:val="24"/>
      <w:lang w:eastAsia="fr-FR"/>
    </w:rPr>
  </w:style>
  <w:style w:type="paragraph" w:styleId="FFWLevel2" w:customStyle="1">
    <w:name w:val="FFW Level 2"/>
    <w:basedOn w:val="Normal"/>
    <w:link w:val="FFWLevel2Char"/>
    <w:locked w:val="1"/>
    <w:rsid w:val="009C2D35"/>
    <w:pPr>
      <w:numPr>
        <w:ilvl w:val="1"/>
        <w:numId w:val="6"/>
      </w:numPr>
      <w:spacing w:after="0" w:before="240" w:line="260" w:lineRule="atLeast"/>
      <w:jc w:val="both"/>
    </w:pPr>
    <w:rPr>
      <w:rFonts w:ascii="Arial" w:cs="Arial" w:eastAsia="Times New Roman" w:hAnsi="Arial"/>
      <w:sz w:val="20"/>
      <w:szCs w:val="24"/>
      <w:lang w:eastAsia="fr-FR"/>
    </w:rPr>
  </w:style>
  <w:style w:type="paragraph" w:styleId="FFWLevel3" w:customStyle="1">
    <w:name w:val="FFW Level 3"/>
    <w:basedOn w:val="Normal"/>
    <w:locked w:val="1"/>
    <w:rsid w:val="009C2D35"/>
    <w:pPr>
      <w:numPr>
        <w:ilvl w:val="2"/>
        <w:numId w:val="6"/>
      </w:numPr>
      <w:spacing w:after="0" w:before="240" w:line="260" w:lineRule="atLeast"/>
      <w:jc w:val="both"/>
    </w:pPr>
    <w:rPr>
      <w:rFonts w:ascii="Arial" w:cs="Arial" w:eastAsia="Times New Roman" w:hAnsi="Arial"/>
      <w:sz w:val="20"/>
      <w:szCs w:val="24"/>
      <w:lang w:eastAsia="fr-FR"/>
    </w:rPr>
  </w:style>
  <w:style w:type="paragraph" w:styleId="FFWLevel4" w:customStyle="1">
    <w:name w:val="FFW Level 4"/>
    <w:basedOn w:val="Normal"/>
    <w:locked w:val="1"/>
    <w:rsid w:val="009C2D35"/>
    <w:pPr>
      <w:numPr>
        <w:ilvl w:val="3"/>
        <w:numId w:val="6"/>
      </w:numPr>
      <w:spacing w:after="0" w:before="240" w:line="260" w:lineRule="atLeast"/>
      <w:jc w:val="both"/>
    </w:pPr>
    <w:rPr>
      <w:rFonts w:ascii="Arial" w:cs="Arial" w:eastAsia="Times New Roman" w:hAnsi="Arial"/>
      <w:sz w:val="20"/>
      <w:szCs w:val="24"/>
      <w:lang w:eastAsia="fr-FR"/>
    </w:rPr>
  </w:style>
  <w:style w:type="paragraph" w:styleId="FFWLevel5" w:customStyle="1">
    <w:name w:val="FFW Level 5"/>
    <w:basedOn w:val="Normal"/>
    <w:locked w:val="1"/>
    <w:rsid w:val="009C2D35"/>
    <w:pPr>
      <w:numPr>
        <w:ilvl w:val="4"/>
        <w:numId w:val="6"/>
      </w:numPr>
      <w:spacing w:after="0" w:before="240" w:line="260" w:lineRule="atLeast"/>
      <w:jc w:val="both"/>
    </w:pPr>
    <w:rPr>
      <w:rFonts w:ascii="Arial" w:cs="Arial" w:eastAsia="Times New Roman" w:hAnsi="Arial"/>
      <w:sz w:val="20"/>
      <w:szCs w:val="24"/>
      <w:lang w:eastAsia="fr-FR"/>
    </w:rPr>
  </w:style>
  <w:style w:type="paragraph" w:styleId="FFWLevel6" w:customStyle="1">
    <w:name w:val="FFW Level 6"/>
    <w:basedOn w:val="Normal"/>
    <w:locked w:val="1"/>
    <w:rsid w:val="009C2D35"/>
    <w:pPr>
      <w:numPr>
        <w:ilvl w:val="5"/>
        <w:numId w:val="6"/>
      </w:numPr>
      <w:spacing w:after="0" w:before="240" w:line="260" w:lineRule="atLeast"/>
      <w:jc w:val="both"/>
    </w:pPr>
    <w:rPr>
      <w:rFonts w:ascii="Arial" w:cs="Arial" w:eastAsia="Times New Roman" w:hAnsi="Arial"/>
      <w:sz w:val="20"/>
      <w:szCs w:val="24"/>
      <w:lang w:eastAsia="fr-FR"/>
    </w:rPr>
  </w:style>
  <w:style w:type="character" w:styleId="FFWLevel2Char" w:customStyle="1">
    <w:name w:val="FFW Level 2 Char"/>
    <w:link w:val="FFWLevel2"/>
    <w:rsid w:val="009C2D35"/>
    <w:rPr>
      <w:rFonts w:ascii="Arial" w:cs="Arial" w:eastAsia="Times New Roman" w:hAnsi="Arial"/>
      <w:sz w:val="20"/>
      <w:szCs w:val="24"/>
      <w:lang w:eastAsia="fr-F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KboQH57gsxC5rXirmPzSQDCWg==">AMUW2mVpQNA7KR1XPKLdYPPW8FCe5j/6Yq8WZUy+jU/CT7fTf8uOIu73t+EbfYEjzxb1ZY/uHSk8OtwXLOp6u7K/JXtOajnwHbAKuTf/k9tYoWjAtz4FwZIubNzPX6eExfM3TgAr9sJ1gTpcN29j6oGXrnIvktpZ38lM7VOyQZM3qWbaU1L2YH6Ut2MIJ6wzGSaJU1/pCz2m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2020-03-18T11:53:00Z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